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9260"/>
      </w:tblGrid>
      <w:tr w:rsidR="005E30D7" w:rsidRPr="00264098" w:rsidTr="00264098">
        <w:trPr>
          <w:trHeight w:val="1370"/>
        </w:trPr>
        <w:tc>
          <w:tcPr>
            <w:tcW w:w="9260" w:type="dxa"/>
            <w:shd w:val="clear" w:color="auto" w:fill="DBE5F1" w:themeFill="accent1" w:themeFillTint="33"/>
          </w:tcPr>
          <w:p w:rsidR="00264098" w:rsidRPr="00264098" w:rsidRDefault="005E30D7" w:rsidP="005E30D7">
            <w:pPr>
              <w:shd w:val="clear" w:color="auto" w:fill="DBE5F1" w:themeFill="accent1" w:themeFillTint="3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64098">
              <w:rPr>
                <w:rFonts w:cs="Arial"/>
                <w:b/>
                <w:bCs/>
                <w:sz w:val="24"/>
                <w:szCs w:val="24"/>
              </w:rPr>
              <w:t xml:space="preserve">SEBRAE AP </w:t>
            </w:r>
          </w:p>
          <w:p w:rsidR="00264098" w:rsidRPr="00264098" w:rsidRDefault="00264098" w:rsidP="005E30D7">
            <w:pPr>
              <w:shd w:val="clear" w:color="auto" w:fill="DBE5F1" w:themeFill="accent1" w:themeFillTint="33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5E30D7" w:rsidRPr="00264098" w:rsidRDefault="005E30D7" w:rsidP="005E30D7">
            <w:pPr>
              <w:shd w:val="clear" w:color="auto" w:fill="DBE5F1" w:themeFill="accent1" w:themeFillTint="3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64098">
              <w:rPr>
                <w:rFonts w:cs="Arial"/>
                <w:b/>
                <w:bCs/>
                <w:sz w:val="24"/>
                <w:szCs w:val="24"/>
              </w:rPr>
              <w:t xml:space="preserve"> Edital 01/2015</w:t>
            </w:r>
            <w:r w:rsidR="00264098" w:rsidRPr="00264098">
              <w:rPr>
                <w:rFonts w:cs="Arial"/>
                <w:b/>
                <w:bCs/>
                <w:sz w:val="24"/>
                <w:szCs w:val="24"/>
              </w:rPr>
              <w:t xml:space="preserve"> – Comunicado 01</w:t>
            </w:r>
          </w:p>
          <w:p w:rsidR="005E30D7" w:rsidRPr="00264098" w:rsidRDefault="005E30D7" w:rsidP="005E30D7">
            <w:pPr>
              <w:shd w:val="clear" w:color="auto" w:fill="DBE5F1" w:themeFill="accent1" w:themeFillTint="33"/>
              <w:jc w:val="center"/>
              <w:rPr>
                <w:rFonts w:cs="Arial"/>
                <w:sz w:val="24"/>
                <w:szCs w:val="24"/>
              </w:rPr>
            </w:pPr>
            <w:r w:rsidRPr="00264098">
              <w:rPr>
                <w:rFonts w:cs="Arial"/>
                <w:sz w:val="24"/>
                <w:szCs w:val="24"/>
              </w:rPr>
              <w:br/>
              <w:t xml:space="preserve">Credenciamento de Profissionais Autônomos e Pessoas Jurídicas para Prestação de Serviços de </w:t>
            </w:r>
            <w:proofErr w:type="spellStart"/>
            <w:r w:rsidRPr="00264098">
              <w:rPr>
                <w:rFonts w:cs="Arial"/>
                <w:sz w:val="24"/>
                <w:szCs w:val="24"/>
              </w:rPr>
              <w:t>Instrutoria</w:t>
            </w:r>
            <w:proofErr w:type="spellEnd"/>
            <w:r w:rsidRPr="00264098">
              <w:rPr>
                <w:rFonts w:cs="Arial"/>
                <w:sz w:val="24"/>
                <w:szCs w:val="24"/>
              </w:rPr>
              <w:t xml:space="preserve"> e Consultoria</w:t>
            </w:r>
          </w:p>
          <w:p w:rsidR="005E30D7" w:rsidRPr="00264098" w:rsidRDefault="005E30D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5E30D7" w:rsidRPr="00264098" w:rsidRDefault="005E30D7">
      <w:pPr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1"/>
      </w:tblGrid>
      <w:tr w:rsidR="00264098" w:rsidRPr="00264098" w:rsidTr="00264098">
        <w:tc>
          <w:tcPr>
            <w:tcW w:w="9211" w:type="dxa"/>
            <w:shd w:val="clear" w:color="auto" w:fill="DBE5F1" w:themeFill="accent1" w:themeFillTint="33"/>
          </w:tcPr>
          <w:p w:rsidR="00264098" w:rsidRPr="00264098" w:rsidRDefault="00264098" w:rsidP="005E30D7">
            <w:pPr>
              <w:rPr>
                <w:rFonts w:cs="Arial"/>
                <w:b/>
                <w:sz w:val="24"/>
                <w:szCs w:val="24"/>
              </w:rPr>
            </w:pPr>
            <w:r w:rsidRPr="00264098">
              <w:rPr>
                <w:rFonts w:cs="Arial"/>
                <w:b/>
                <w:sz w:val="24"/>
                <w:szCs w:val="24"/>
              </w:rPr>
              <w:t>INFORMAÇÕES GERAIS</w:t>
            </w:r>
          </w:p>
        </w:tc>
      </w:tr>
    </w:tbl>
    <w:p w:rsidR="002866E5" w:rsidRDefault="002866E5" w:rsidP="00F82462">
      <w:pPr>
        <w:pStyle w:val="PargrafodaLista"/>
        <w:spacing w:after="0" w:line="240" w:lineRule="auto"/>
        <w:ind w:left="426"/>
        <w:jc w:val="both"/>
        <w:rPr>
          <w:rFonts w:cs="Arial"/>
          <w:sz w:val="24"/>
          <w:szCs w:val="24"/>
        </w:rPr>
      </w:pPr>
    </w:p>
    <w:p w:rsidR="00264098" w:rsidRDefault="00264098" w:rsidP="002866E5">
      <w:pPr>
        <w:pStyle w:val="PargrafodaLista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sz w:val="24"/>
          <w:szCs w:val="24"/>
        </w:rPr>
      </w:pPr>
      <w:r w:rsidRPr="00264098">
        <w:rPr>
          <w:rFonts w:cs="Arial"/>
          <w:sz w:val="24"/>
          <w:szCs w:val="24"/>
        </w:rPr>
        <w:t>O processo de Credenciamento será organizado e conduzido pel</w:t>
      </w:r>
      <w:r>
        <w:rPr>
          <w:rFonts w:cs="Arial"/>
          <w:sz w:val="24"/>
          <w:szCs w:val="24"/>
        </w:rPr>
        <w:t xml:space="preserve">o </w:t>
      </w:r>
      <w:proofErr w:type="gramStart"/>
      <w:r>
        <w:rPr>
          <w:rFonts w:cs="Arial"/>
          <w:sz w:val="24"/>
          <w:szCs w:val="24"/>
        </w:rPr>
        <w:t>Sebrae</w:t>
      </w:r>
      <w:proofErr w:type="gramEnd"/>
      <w:r>
        <w:rPr>
          <w:rFonts w:cs="Arial"/>
          <w:sz w:val="24"/>
          <w:szCs w:val="24"/>
        </w:rPr>
        <w:t xml:space="preserve"> Amapá.</w:t>
      </w:r>
    </w:p>
    <w:p w:rsidR="00F01860" w:rsidRDefault="00F01860" w:rsidP="002866E5">
      <w:pPr>
        <w:pStyle w:val="PargrafodaLista"/>
        <w:spacing w:line="240" w:lineRule="auto"/>
        <w:ind w:left="426"/>
        <w:jc w:val="both"/>
        <w:rPr>
          <w:rFonts w:cs="Arial"/>
          <w:sz w:val="24"/>
          <w:szCs w:val="24"/>
        </w:rPr>
      </w:pPr>
    </w:p>
    <w:p w:rsidR="00264098" w:rsidRDefault="00264098" w:rsidP="002866E5">
      <w:pPr>
        <w:pStyle w:val="PargrafodaLista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sz w:val="24"/>
          <w:szCs w:val="24"/>
        </w:rPr>
      </w:pPr>
      <w:r w:rsidRPr="00264098">
        <w:rPr>
          <w:rFonts w:cs="Arial"/>
          <w:sz w:val="24"/>
          <w:szCs w:val="24"/>
        </w:rPr>
        <w:t xml:space="preserve"> Todo e qualquer esclarecimento com relação a este edital deverá ser feito somente por escrito através do endereço eletrônico – </w:t>
      </w:r>
      <w:hyperlink r:id="rId7" w:history="1">
        <w:r w:rsidRPr="00CE5189">
          <w:rPr>
            <w:rStyle w:val="Hyperlink"/>
            <w:rFonts w:cs="Arial"/>
            <w:sz w:val="24"/>
            <w:szCs w:val="24"/>
          </w:rPr>
          <w:t>sgc@ap.sebrae.com.br</w:t>
        </w:r>
      </w:hyperlink>
    </w:p>
    <w:p w:rsidR="00F01860" w:rsidRDefault="00F01860" w:rsidP="002866E5">
      <w:pPr>
        <w:pStyle w:val="PargrafodaLista"/>
        <w:spacing w:line="240" w:lineRule="auto"/>
        <w:ind w:left="426"/>
        <w:jc w:val="both"/>
        <w:rPr>
          <w:rFonts w:cs="Arial"/>
          <w:sz w:val="24"/>
          <w:szCs w:val="24"/>
        </w:rPr>
      </w:pPr>
    </w:p>
    <w:p w:rsidR="00F01860" w:rsidRPr="00F01860" w:rsidRDefault="00F01860" w:rsidP="002866E5">
      <w:pPr>
        <w:pStyle w:val="PargrafodaLista"/>
        <w:numPr>
          <w:ilvl w:val="0"/>
          <w:numId w:val="1"/>
        </w:num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4"/>
          <w:szCs w:val="24"/>
        </w:rPr>
      </w:pPr>
      <w:r w:rsidRPr="00F01860">
        <w:rPr>
          <w:rFonts w:cs="Arial"/>
          <w:sz w:val="24"/>
          <w:szCs w:val="24"/>
        </w:rPr>
        <w:t xml:space="preserve">O acompanhamento de todas as etapas do credenciamento será de inteira responsabilidade dos interessados, que deverão tomar ciência dos resultados de cada etapa através do site </w:t>
      </w:r>
      <w:hyperlink r:id="rId8" w:history="1">
        <w:r w:rsidRPr="00F01860">
          <w:rPr>
            <w:rStyle w:val="Hyperlink"/>
            <w:rFonts w:cs="Arial"/>
            <w:sz w:val="24"/>
            <w:szCs w:val="24"/>
          </w:rPr>
          <w:t>www.ap.sebrae.com.br</w:t>
        </w:r>
      </w:hyperlink>
      <w:r w:rsidRPr="00F01860">
        <w:rPr>
          <w:rFonts w:cs="Arial"/>
          <w:sz w:val="24"/>
          <w:szCs w:val="24"/>
        </w:rPr>
        <w:t xml:space="preserve">, link: Sobre o </w:t>
      </w:r>
      <w:proofErr w:type="gramStart"/>
      <w:r w:rsidRPr="00F01860">
        <w:rPr>
          <w:rFonts w:cs="Arial"/>
          <w:sz w:val="24"/>
          <w:szCs w:val="24"/>
        </w:rPr>
        <w:t>Sebrae</w:t>
      </w:r>
      <w:proofErr w:type="gramEnd"/>
      <w:r w:rsidRPr="00F01860">
        <w:rPr>
          <w:rFonts w:cs="Arial"/>
          <w:sz w:val="24"/>
          <w:szCs w:val="24"/>
        </w:rPr>
        <w:t xml:space="preserve"> no Amapá/Trabalhe Conosco</w:t>
      </w:r>
    </w:p>
    <w:p w:rsidR="002866E5" w:rsidRDefault="002866E5" w:rsidP="002866E5">
      <w:pPr>
        <w:pStyle w:val="PargrafodaLista"/>
        <w:spacing w:line="240" w:lineRule="auto"/>
        <w:ind w:left="426"/>
        <w:jc w:val="both"/>
        <w:rPr>
          <w:rFonts w:cs="Arial"/>
          <w:sz w:val="24"/>
          <w:szCs w:val="24"/>
        </w:rPr>
      </w:pPr>
    </w:p>
    <w:p w:rsidR="00CB36A7" w:rsidRPr="00F31EE3" w:rsidRDefault="00264098" w:rsidP="002866E5">
      <w:pPr>
        <w:pStyle w:val="PargrafodaLista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sz w:val="24"/>
          <w:szCs w:val="24"/>
        </w:rPr>
      </w:pPr>
      <w:r w:rsidRPr="00264098">
        <w:rPr>
          <w:rFonts w:cs="Arial"/>
          <w:sz w:val="24"/>
          <w:szCs w:val="24"/>
        </w:rPr>
        <w:t>Fica assegurado ao SEBRAE/</w:t>
      </w:r>
      <w:r w:rsidR="00F01860">
        <w:rPr>
          <w:rFonts w:cs="Arial"/>
          <w:sz w:val="24"/>
          <w:szCs w:val="24"/>
        </w:rPr>
        <w:t>AP</w:t>
      </w:r>
      <w:r w:rsidRPr="00264098">
        <w:rPr>
          <w:rFonts w:cs="Arial"/>
          <w:sz w:val="24"/>
          <w:szCs w:val="24"/>
        </w:rPr>
        <w:t xml:space="preserve"> o direito de cancelar, no todo ou em parte, este </w:t>
      </w:r>
      <w:r w:rsidR="00257CBD">
        <w:rPr>
          <w:rFonts w:cs="Arial"/>
          <w:sz w:val="24"/>
          <w:szCs w:val="24"/>
        </w:rPr>
        <w:t>Processo</w:t>
      </w:r>
      <w:r w:rsidRPr="00264098">
        <w:rPr>
          <w:rFonts w:cs="Arial"/>
          <w:sz w:val="24"/>
          <w:szCs w:val="24"/>
        </w:rPr>
        <w:t xml:space="preserve"> de </w:t>
      </w:r>
      <w:r w:rsidRPr="008A3B84">
        <w:rPr>
          <w:rFonts w:cs="Arial"/>
          <w:sz w:val="24"/>
          <w:szCs w:val="24"/>
        </w:rPr>
        <w:t>Credenciamento, sem que caiba, em decorrência dessa medida, qualquer indenização, compensação aos participantes ou reclamação deles.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B36A7" w:rsidTr="00CB36A7">
        <w:tc>
          <w:tcPr>
            <w:tcW w:w="9211" w:type="dxa"/>
            <w:shd w:val="clear" w:color="auto" w:fill="DBE5F1" w:themeFill="accent1" w:themeFillTint="33"/>
          </w:tcPr>
          <w:p w:rsidR="00CB36A7" w:rsidRPr="00CB36A7" w:rsidRDefault="00CB36A7">
            <w:pPr>
              <w:rPr>
                <w:b/>
                <w:sz w:val="24"/>
                <w:szCs w:val="24"/>
              </w:rPr>
            </w:pPr>
            <w:r w:rsidRPr="00CB36A7">
              <w:rPr>
                <w:b/>
                <w:sz w:val="24"/>
                <w:szCs w:val="24"/>
              </w:rPr>
              <w:t>ORIENTAÇÕES SOBRE A ETAPA DE HABILITAÇÃO</w:t>
            </w:r>
          </w:p>
        </w:tc>
      </w:tr>
    </w:tbl>
    <w:p w:rsidR="002866E5" w:rsidRPr="002866E5" w:rsidRDefault="002866E5" w:rsidP="002866E5">
      <w:pPr>
        <w:pStyle w:val="PargrafodaLista"/>
        <w:ind w:left="426"/>
        <w:jc w:val="both"/>
        <w:rPr>
          <w:b/>
        </w:rPr>
      </w:pPr>
    </w:p>
    <w:p w:rsidR="00CB36A7" w:rsidRDefault="00CB36A7" w:rsidP="00C95CE4">
      <w:pPr>
        <w:pStyle w:val="PargrafodaLista"/>
        <w:numPr>
          <w:ilvl w:val="0"/>
          <w:numId w:val="4"/>
        </w:numPr>
        <w:spacing w:after="0"/>
        <w:ind w:left="426" w:hanging="426"/>
        <w:jc w:val="both"/>
        <w:rPr>
          <w:b/>
        </w:rPr>
      </w:pPr>
      <w:r>
        <w:t xml:space="preserve">Todos os documentos deverão ser enviados </w:t>
      </w:r>
      <w:r w:rsidR="00FE4A51">
        <w:t>em envelope lacrado, identificad</w:t>
      </w:r>
      <w:r>
        <w:t>o</w:t>
      </w:r>
      <w:r w:rsidR="00A87498">
        <w:t xml:space="preserve"> de forma legível</w:t>
      </w:r>
      <w:r w:rsidR="00FE4A51">
        <w:t>,</w:t>
      </w:r>
      <w:r>
        <w:t xml:space="preserve"> </w:t>
      </w:r>
      <w:r w:rsidR="00095C91">
        <w:t xml:space="preserve">com </w:t>
      </w:r>
      <w:r>
        <w:t>o nome completo d</w:t>
      </w:r>
      <w:r w:rsidR="00A87498">
        <w:t>o profissional Autônomo ou da</w:t>
      </w:r>
      <w:r>
        <w:t xml:space="preserve"> Pessoa Jurídica e respectivos profissionais indicados, </w:t>
      </w:r>
      <w:r w:rsidR="00FE4A51">
        <w:t xml:space="preserve">constando na parte frontal a seguinte informação: </w:t>
      </w:r>
      <w:r w:rsidR="00FE4A51" w:rsidRPr="00FE4A51">
        <w:rPr>
          <w:b/>
        </w:rPr>
        <w:t>CREDENCIAMENTO – EDITAL Nº 01/2015.</w:t>
      </w:r>
      <w:r w:rsidRPr="00FE4A51">
        <w:rPr>
          <w:b/>
        </w:rPr>
        <w:t xml:space="preserve"> </w:t>
      </w:r>
    </w:p>
    <w:p w:rsidR="00FE4A51" w:rsidRDefault="00FE4A51" w:rsidP="00C95CE4">
      <w:pPr>
        <w:pStyle w:val="PargrafodaLista"/>
        <w:spacing w:after="0"/>
        <w:ind w:left="426"/>
        <w:jc w:val="both"/>
        <w:rPr>
          <w:b/>
        </w:rPr>
      </w:pPr>
    </w:p>
    <w:p w:rsidR="00CB36A7" w:rsidRDefault="00CB36A7" w:rsidP="00C95CE4">
      <w:pPr>
        <w:pStyle w:val="PargrafodaLista"/>
        <w:numPr>
          <w:ilvl w:val="0"/>
          <w:numId w:val="4"/>
        </w:numPr>
        <w:spacing w:after="0"/>
        <w:ind w:left="426" w:hanging="426"/>
        <w:jc w:val="both"/>
      </w:pPr>
      <w:r>
        <w:t xml:space="preserve">É fundamental que, além dos documentos listados </w:t>
      </w:r>
      <w:r w:rsidR="00095C91">
        <w:t>no</w:t>
      </w:r>
      <w:r>
        <w:t xml:space="preserve"> edital</w:t>
      </w:r>
      <w:r w:rsidR="00095C91">
        <w:t xml:space="preserve"> (</w:t>
      </w:r>
      <w:r w:rsidR="00F86B55">
        <w:t>itens 5.3 e 5.4</w:t>
      </w:r>
      <w:r w:rsidR="00095C91">
        <w:t>)</w:t>
      </w:r>
      <w:r>
        <w:t>, seja enviada cópia impressa e assinada do cadastro de inscrição</w:t>
      </w:r>
      <w:r w:rsidR="00F86B55">
        <w:t xml:space="preserve"> realizado no sistema</w:t>
      </w:r>
      <w:r>
        <w:t xml:space="preserve">. </w:t>
      </w:r>
    </w:p>
    <w:p w:rsidR="00FE4A51" w:rsidRDefault="00FE4A51" w:rsidP="00FE4A51">
      <w:pPr>
        <w:pStyle w:val="PargrafodaLista"/>
        <w:ind w:left="426"/>
        <w:jc w:val="both"/>
      </w:pPr>
    </w:p>
    <w:p w:rsidR="00CB36A7" w:rsidRPr="002866E5" w:rsidRDefault="00CB36A7" w:rsidP="00CB36A7">
      <w:pPr>
        <w:pStyle w:val="PargrafodaLista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t>O SEBRAE/</w:t>
      </w:r>
      <w:r w:rsidR="00FE4A51">
        <w:t>AP</w:t>
      </w:r>
      <w:r>
        <w:t xml:space="preserve"> não </w:t>
      </w:r>
      <w:r w:rsidR="00FE4A51">
        <w:t>se responsabiliza</w:t>
      </w:r>
      <w:r>
        <w:t xml:space="preserve"> por problemas de ordem técnica que impossibilitem o recebimento dos documen</w:t>
      </w:r>
      <w:r w:rsidR="00FE4A51">
        <w:t>tos, bem como problemas com os C</w:t>
      </w:r>
      <w:r>
        <w:t>orreios, transportadoras ou outros.</w:t>
      </w:r>
    </w:p>
    <w:p w:rsidR="002866E5" w:rsidRDefault="002866E5" w:rsidP="002866E5">
      <w:pPr>
        <w:jc w:val="both"/>
        <w:rPr>
          <w:sz w:val="24"/>
          <w:szCs w:val="24"/>
        </w:rPr>
      </w:pPr>
    </w:p>
    <w:p w:rsidR="00095C91" w:rsidRDefault="00095C91" w:rsidP="002866E5">
      <w:pPr>
        <w:jc w:val="both"/>
        <w:rPr>
          <w:sz w:val="24"/>
          <w:szCs w:val="24"/>
        </w:rPr>
      </w:pPr>
    </w:p>
    <w:p w:rsidR="00095C91" w:rsidRDefault="00095C91" w:rsidP="002866E5">
      <w:pPr>
        <w:jc w:val="both"/>
        <w:rPr>
          <w:sz w:val="24"/>
          <w:szCs w:val="24"/>
        </w:rPr>
      </w:pPr>
    </w:p>
    <w:p w:rsidR="00095C91" w:rsidRDefault="00095C91" w:rsidP="002866E5">
      <w:pPr>
        <w:jc w:val="both"/>
        <w:rPr>
          <w:sz w:val="24"/>
          <w:szCs w:val="24"/>
        </w:rPr>
      </w:pPr>
    </w:p>
    <w:p w:rsidR="002866E5" w:rsidRDefault="002866E5" w:rsidP="002866E5">
      <w:pPr>
        <w:jc w:val="both"/>
        <w:rPr>
          <w:sz w:val="24"/>
          <w:szCs w:val="24"/>
        </w:rPr>
      </w:pPr>
    </w:p>
    <w:p w:rsidR="005B52A3" w:rsidRPr="002866E5" w:rsidRDefault="005B52A3" w:rsidP="002866E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A3B84" w:rsidRPr="008A3B84" w:rsidTr="008A3B84">
        <w:tc>
          <w:tcPr>
            <w:tcW w:w="9211" w:type="dxa"/>
            <w:shd w:val="clear" w:color="auto" w:fill="DBE5F1" w:themeFill="accent1" w:themeFillTint="33"/>
          </w:tcPr>
          <w:p w:rsidR="008A3B84" w:rsidRPr="008A3B84" w:rsidRDefault="008A3B84">
            <w:pPr>
              <w:rPr>
                <w:b/>
                <w:sz w:val="24"/>
                <w:szCs w:val="24"/>
              </w:rPr>
            </w:pPr>
            <w:r w:rsidRPr="008A3B84">
              <w:rPr>
                <w:b/>
                <w:sz w:val="24"/>
                <w:szCs w:val="24"/>
              </w:rPr>
              <w:lastRenderedPageBreak/>
              <w:t xml:space="preserve">ORIENTAÇÕES SOBRE A </w:t>
            </w:r>
            <w:r>
              <w:rPr>
                <w:b/>
                <w:sz w:val="24"/>
                <w:szCs w:val="24"/>
              </w:rPr>
              <w:t xml:space="preserve">ETAPA DE </w:t>
            </w:r>
            <w:r w:rsidRPr="008A3B84">
              <w:rPr>
                <w:b/>
                <w:sz w:val="24"/>
                <w:szCs w:val="24"/>
              </w:rPr>
              <w:t>CERTIFICAÇÃO DA CAPACIDADE TÉCNICA</w:t>
            </w:r>
          </w:p>
        </w:tc>
      </w:tr>
    </w:tbl>
    <w:p w:rsidR="008A3B84" w:rsidRDefault="008A3B84">
      <w:pPr>
        <w:rPr>
          <w:sz w:val="24"/>
          <w:szCs w:val="24"/>
        </w:rPr>
      </w:pPr>
    </w:p>
    <w:p w:rsidR="008A3B84" w:rsidRDefault="008A3B84" w:rsidP="008A3B84">
      <w:pPr>
        <w:pStyle w:val="PargrafodaLista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8A3B84">
        <w:rPr>
          <w:sz w:val="24"/>
          <w:szCs w:val="24"/>
        </w:rPr>
        <w:t xml:space="preserve">Esta etapa tem caráter eliminatório e consiste na certificação dos profissionais indicados pelas pessoas jurídicas e dos profissionais autônomos. </w:t>
      </w:r>
    </w:p>
    <w:p w:rsidR="008A3B84" w:rsidRPr="008A3B84" w:rsidRDefault="008A3B84" w:rsidP="008A3B84">
      <w:pPr>
        <w:pStyle w:val="PargrafodaLista"/>
        <w:ind w:left="426"/>
        <w:jc w:val="both"/>
        <w:rPr>
          <w:sz w:val="24"/>
          <w:szCs w:val="24"/>
        </w:rPr>
      </w:pPr>
    </w:p>
    <w:p w:rsidR="008A3B84" w:rsidRDefault="008A3B84" w:rsidP="008A3B84">
      <w:pPr>
        <w:pStyle w:val="PargrafodaLista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8A3B84">
        <w:rPr>
          <w:sz w:val="24"/>
          <w:szCs w:val="24"/>
        </w:rPr>
        <w:t xml:space="preserve">As avaliações </w:t>
      </w:r>
      <w:r w:rsidR="00095C91">
        <w:rPr>
          <w:sz w:val="24"/>
          <w:szCs w:val="24"/>
        </w:rPr>
        <w:t>ser</w:t>
      </w:r>
      <w:r w:rsidRPr="008A3B84">
        <w:rPr>
          <w:sz w:val="24"/>
          <w:szCs w:val="24"/>
        </w:rPr>
        <w:t xml:space="preserve">ão presenciais e não poderão ser indicados substitutos ou representantes. Somente o(s) </w:t>
      </w:r>
      <w:proofErr w:type="gramStart"/>
      <w:r w:rsidRPr="008A3B84">
        <w:rPr>
          <w:sz w:val="24"/>
          <w:szCs w:val="24"/>
        </w:rPr>
        <w:t>profissional(</w:t>
      </w:r>
      <w:proofErr w:type="spellStart"/>
      <w:proofErr w:type="gramEnd"/>
      <w:r w:rsidRPr="008A3B84">
        <w:rPr>
          <w:sz w:val="24"/>
          <w:szCs w:val="24"/>
        </w:rPr>
        <w:t>is</w:t>
      </w:r>
      <w:proofErr w:type="spellEnd"/>
      <w:r w:rsidRPr="008A3B84">
        <w:rPr>
          <w:sz w:val="24"/>
          <w:szCs w:val="24"/>
        </w:rPr>
        <w:t>) indicado(s) e o(s) profissional(</w:t>
      </w:r>
      <w:proofErr w:type="spellStart"/>
      <w:r w:rsidRPr="008A3B84">
        <w:rPr>
          <w:sz w:val="24"/>
          <w:szCs w:val="24"/>
        </w:rPr>
        <w:t>is</w:t>
      </w:r>
      <w:proofErr w:type="spellEnd"/>
      <w:r w:rsidRPr="008A3B84">
        <w:rPr>
          <w:sz w:val="24"/>
          <w:szCs w:val="24"/>
        </w:rPr>
        <w:t>) autônomo(s) poderá(</w:t>
      </w:r>
      <w:proofErr w:type="spellStart"/>
      <w:r w:rsidRPr="008A3B84">
        <w:rPr>
          <w:sz w:val="24"/>
          <w:szCs w:val="24"/>
        </w:rPr>
        <w:t>ão</w:t>
      </w:r>
      <w:proofErr w:type="spellEnd"/>
      <w:r w:rsidRPr="008A3B84">
        <w:rPr>
          <w:sz w:val="24"/>
          <w:szCs w:val="24"/>
        </w:rPr>
        <w:t>) fazer a(s) avaliação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ões</w:t>
      </w:r>
      <w:proofErr w:type="spellEnd"/>
      <w:r>
        <w:rPr>
          <w:sz w:val="24"/>
          <w:szCs w:val="24"/>
        </w:rPr>
        <w:t>) e permanecer no local.</w:t>
      </w:r>
    </w:p>
    <w:p w:rsidR="008A3B84" w:rsidRPr="008A3B84" w:rsidRDefault="008A3B84" w:rsidP="008A3B84">
      <w:pPr>
        <w:pStyle w:val="PargrafodaLista"/>
        <w:ind w:left="426"/>
        <w:jc w:val="both"/>
        <w:rPr>
          <w:sz w:val="24"/>
          <w:szCs w:val="24"/>
        </w:rPr>
      </w:pPr>
    </w:p>
    <w:p w:rsidR="008A3B84" w:rsidRPr="008A3B84" w:rsidRDefault="008A3B84" w:rsidP="008A3B84">
      <w:pPr>
        <w:pStyle w:val="PargrafodaLista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8A3B84">
        <w:rPr>
          <w:sz w:val="24"/>
          <w:szCs w:val="24"/>
        </w:rPr>
        <w:t>A Certificação da Capacidade Técnica será realizada em duas fases</w:t>
      </w:r>
      <w:r w:rsidR="00095C91">
        <w:rPr>
          <w:sz w:val="24"/>
          <w:szCs w:val="24"/>
        </w:rPr>
        <w:t>,</w:t>
      </w:r>
      <w:r w:rsidRPr="008A3B84">
        <w:rPr>
          <w:sz w:val="24"/>
          <w:szCs w:val="24"/>
        </w:rPr>
        <w:t xml:space="preserve"> compostas de:</w:t>
      </w:r>
    </w:p>
    <w:p w:rsidR="008A3B84" w:rsidRDefault="008A3B84" w:rsidP="00F31EE3">
      <w:pPr>
        <w:ind w:left="851" w:hanging="284"/>
        <w:jc w:val="both"/>
        <w:rPr>
          <w:sz w:val="24"/>
          <w:szCs w:val="24"/>
        </w:rPr>
      </w:pPr>
      <w:r w:rsidRPr="008A3B84">
        <w:rPr>
          <w:sz w:val="24"/>
          <w:szCs w:val="24"/>
        </w:rPr>
        <w:t xml:space="preserve"> a) </w:t>
      </w:r>
      <w:r w:rsidRPr="00DB2319">
        <w:rPr>
          <w:b/>
          <w:sz w:val="24"/>
          <w:szCs w:val="24"/>
        </w:rPr>
        <w:t>1ª fase: Avaliação de Conhecimentos</w:t>
      </w:r>
      <w:r w:rsidR="001D42A1" w:rsidRPr="00DB2319">
        <w:rPr>
          <w:b/>
          <w:sz w:val="24"/>
          <w:szCs w:val="24"/>
        </w:rPr>
        <w:t>, através de Entrevista Técnica</w:t>
      </w:r>
      <w:r w:rsidR="001D42A1">
        <w:rPr>
          <w:sz w:val="24"/>
          <w:szCs w:val="24"/>
        </w:rPr>
        <w:t xml:space="preserve"> </w:t>
      </w:r>
      <w:r w:rsidRPr="008A3B84">
        <w:rPr>
          <w:sz w:val="24"/>
          <w:szCs w:val="24"/>
        </w:rPr>
        <w:t>–</w:t>
      </w:r>
      <w:r w:rsidR="001D42A1">
        <w:rPr>
          <w:sz w:val="24"/>
          <w:szCs w:val="24"/>
        </w:rPr>
        <w:t xml:space="preserve"> </w:t>
      </w:r>
      <w:r w:rsidRPr="008A3B84">
        <w:rPr>
          <w:sz w:val="24"/>
          <w:szCs w:val="24"/>
        </w:rPr>
        <w:t>referentes à natureza de serviço</w:t>
      </w:r>
      <w:r w:rsidR="00EA261E">
        <w:rPr>
          <w:sz w:val="24"/>
          <w:szCs w:val="24"/>
        </w:rPr>
        <w:t xml:space="preserve"> (consultoria e/ou </w:t>
      </w:r>
      <w:proofErr w:type="spellStart"/>
      <w:r w:rsidR="00EA261E">
        <w:rPr>
          <w:sz w:val="24"/>
          <w:szCs w:val="24"/>
        </w:rPr>
        <w:t>instrutoria</w:t>
      </w:r>
      <w:proofErr w:type="spellEnd"/>
      <w:r w:rsidR="00EA261E">
        <w:rPr>
          <w:sz w:val="24"/>
          <w:szCs w:val="24"/>
        </w:rPr>
        <w:t>)</w:t>
      </w:r>
      <w:r w:rsidRPr="008A3B84">
        <w:rPr>
          <w:sz w:val="24"/>
          <w:szCs w:val="24"/>
        </w:rPr>
        <w:t xml:space="preserve">, de conhecimentos gerais sobre pequenos negócios e empreendedorismo. </w:t>
      </w:r>
    </w:p>
    <w:p w:rsidR="001D42A1" w:rsidRPr="001D42A1" w:rsidRDefault="001D42A1" w:rsidP="001D42A1">
      <w:pPr>
        <w:ind w:left="851" w:hanging="143"/>
        <w:jc w:val="both"/>
        <w:rPr>
          <w:sz w:val="24"/>
          <w:szCs w:val="24"/>
        </w:rPr>
      </w:pPr>
      <w:r w:rsidRPr="001D42A1">
        <w:rPr>
          <w:sz w:val="24"/>
          <w:szCs w:val="24"/>
        </w:rPr>
        <w:t>Os candidatos serão avaliados, individualmente, conforme critérios abaixo:</w:t>
      </w:r>
    </w:p>
    <w:tbl>
      <w:tblPr>
        <w:tblStyle w:val="Tabelacomgrade"/>
        <w:tblW w:w="0" w:type="auto"/>
        <w:tblInd w:w="1539" w:type="dxa"/>
        <w:tblLook w:val="04A0" w:firstRow="1" w:lastRow="0" w:firstColumn="1" w:lastColumn="0" w:noHBand="0" w:noVBand="1"/>
      </w:tblPr>
      <w:tblGrid>
        <w:gridCol w:w="4273"/>
        <w:gridCol w:w="2214"/>
      </w:tblGrid>
      <w:tr w:rsidR="001D42A1" w:rsidTr="001D42A1">
        <w:tc>
          <w:tcPr>
            <w:tcW w:w="4273" w:type="dxa"/>
            <w:shd w:val="clear" w:color="auto" w:fill="C6D9F1" w:themeFill="text2" w:themeFillTint="33"/>
          </w:tcPr>
          <w:p w:rsidR="001D42A1" w:rsidRDefault="001D42A1" w:rsidP="001D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Critérios</w:t>
            </w:r>
          </w:p>
        </w:tc>
        <w:tc>
          <w:tcPr>
            <w:tcW w:w="2214" w:type="dxa"/>
            <w:shd w:val="clear" w:color="auto" w:fill="C6D9F1" w:themeFill="text2" w:themeFillTint="33"/>
          </w:tcPr>
          <w:p w:rsidR="001D42A1" w:rsidRDefault="001D42A1" w:rsidP="001D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</w:t>
            </w:r>
          </w:p>
        </w:tc>
      </w:tr>
      <w:tr w:rsidR="001D42A1" w:rsidTr="001D42A1">
        <w:tc>
          <w:tcPr>
            <w:tcW w:w="4273" w:type="dxa"/>
          </w:tcPr>
          <w:p w:rsidR="001D42A1" w:rsidRDefault="001D42A1" w:rsidP="001D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Senso Crítico</w:t>
            </w:r>
          </w:p>
        </w:tc>
        <w:tc>
          <w:tcPr>
            <w:tcW w:w="2214" w:type="dxa"/>
          </w:tcPr>
          <w:p w:rsidR="001D42A1" w:rsidRDefault="001D42A1" w:rsidP="001D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a 2 pontos</w:t>
            </w:r>
          </w:p>
        </w:tc>
      </w:tr>
      <w:tr w:rsidR="001D42A1" w:rsidTr="001D42A1">
        <w:tc>
          <w:tcPr>
            <w:tcW w:w="4273" w:type="dxa"/>
          </w:tcPr>
          <w:p w:rsidR="001D42A1" w:rsidRDefault="001D42A1" w:rsidP="001D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Pessoal</w:t>
            </w:r>
          </w:p>
        </w:tc>
        <w:tc>
          <w:tcPr>
            <w:tcW w:w="2214" w:type="dxa"/>
          </w:tcPr>
          <w:p w:rsidR="001D42A1" w:rsidRDefault="001D42A1" w:rsidP="001D42A1">
            <w:r w:rsidRPr="007F3E39">
              <w:rPr>
                <w:sz w:val="24"/>
                <w:szCs w:val="24"/>
              </w:rPr>
              <w:t>0 a 2 pontos</w:t>
            </w:r>
          </w:p>
        </w:tc>
      </w:tr>
      <w:tr w:rsidR="001D42A1" w:rsidTr="001D42A1">
        <w:tc>
          <w:tcPr>
            <w:tcW w:w="4273" w:type="dxa"/>
          </w:tcPr>
          <w:p w:rsidR="001D42A1" w:rsidRDefault="001D42A1" w:rsidP="001D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Comprometimento e pró-atividade</w:t>
            </w:r>
          </w:p>
        </w:tc>
        <w:tc>
          <w:tcPr>
            <w:tcW w:w="2214" w:type="dxa"/>
          </w:tcPr>
          <w:p w:rsidR="001D42A1" w:rsidRDefault="001D42A1" w:rsidP="001D42A1">
            <w:r w:rsidRPr="007F3E39">
              <w:rPr>
                <w:sz w:val="24"/>
                <w:szCs w:val="24"/>
              </w:rPr>
              <w:t>0 a 2 pontos</w:t>
            </w:r>
          </w:p>
        </w:tc>
      </w:tr>
      <w:tr w:rsidR="001D42A1" w:rsidTr="001D42A1">
        <w:tc>
          <w:tcPr>
            <w:tcW w:w="4273" w:type="dxa"/>
          </w:tcPr>
          <w:p w:rsidR="001D42A1" w:rsidRDefault="001D42A1" w:rsidP="001D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Assertividade e autoconfiança</w:t>
            </w:r>
          </w:p>
        </w:tc>
        <w:tc>
          <w:tcPr>
            <w:tcW w:w="2214" w:type="dxa"/>
          </w:tcPr>
          <w:p w:rsidR="001D42A1" w:rsidRDefault="001D42A1" w:rsidP="001D42A1">
            <w:r w:rsidRPr="007F3E39">
              <w:rPr>
                <w:sz w:val="24"/>
                <w:szCs w:val="24"/>
              </w:rPr>
              <w:t>0 a 2 pontos</w:t>
            </w:r>
          </w:p>
        </w:tc>
      </w:tr>
      <w:tr w:rsidR="001D42A1" w:rsidTr="001D42A1">
        <w:tc>
          <w:tcPr>
            <w:tcW w:w="4273" w:type="dxa"/>
          </w:tcPr>
          <w:p w:rsidR="001D42A1" w:rsidRDefault="001D42A1" w:rsidP="001D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 e fluência de ideias</w:t>
            </w:r>
          </w:p>
        </w:tc>
        <w:tc>
          <w:tcPr>
            <w:tcW w:w="2214" w:type="dxa"/>
          </w:tcPr>
          <w:p w:rsidR="001D42A1" w:rsidRDefault="001D42A1" w:rsidP="001D42A1">
            <w:r w:rsidRPr="007F3E39">
              <w:rPr>
                <w:sz w:val="24"/>
                <w:szCs w:val="24"/>
              </w:rPr>
              <w:t>0 a 2 pontos</w:t>
            </w:r>
          </w:p>
        </w:tc>
      </w:tr>
    </w:tbl>
    <w:p w:rsidR="001D42A1" w:rsidRDefault="001D42A1" w:rsidP="00F82462">
      <w:pPr>
        <w:spacing w:after="0" w:line="240" w:lineRule="auto"/>
        <w:ind w:left="851" w:hanging="284"/>
        <w:jc w:val="both"/>
        <w:rPr>
          <w:sz w:val="24"/>
          <w:szCs w:val="24"/>
        </w:rPr>
      </w:pPr>
    </w:p>
    <w:p w:rsidR="008A3B84" w:rsidRDefault="00CB36A7" w:rsidP="001D42A1">
      <w:pPr>
        <w:spacing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8A3B84" w:rsidRPr="00CB36A7">
        <w:rPr>
          <w:b/>
          <w:sz w:val="24"/>
          <w:szCs w:val="24"/>
        </w:rPr>
        <w:t>2ª fase: Avaliação de Habilidades</w:t>
      </w:r>
      <w:r w:rsidR="008A3B84" w:rsidRPr="008A3B84">
        <w:rPr>
          <w:sz w:val="24"/>
          <w:szCs w:val="24"/>
        </w:rPr>
        <w:t xml:space="preserve"> – atividade prática (aula simulada e apresentação de caso de consultoria da vivência profissional) que visa avaliar as habilidades específicas de </w:t>
      </w:r>
      <w:proofErr w:type="spellStart"/>
      <w:r w:rsidR="008A3B84" w:rsidRPr="008A3B84">
        <w:rPr>
          <w:sz w:val="24"/>
          <w:szCs w:val="24"/>
        </w:rPr>
        <w:t>instrutoria</w:t>
      </w:r>
      <w:proofErr w:type="spellEnd"/>
      <w:r w:rsidR="008A3B84" w:rsidRPr="008A3B84">
        <w:rPr>
          <w:sz w:val="24"/>
          <w:szCs w:val="24"/>
        </w:rPr>
        <w:t xml:space="preserve"> e/ou consultoria.</w:t>
      </w:r>
    </w:p>
    <w:p w:rsidR="00CB36A7" w:rsidRDefault="00CB36A7" w:rsidP="008A3B84">
      <w:pPr>
        <w:jc w:val="both"/>
      </w:pPr>
      <w:r>
        <w:t xml:space="preserve"> </w:t>
      </w:r>
      <w:r w:rsidR="00FE4A51">
        <w:t xml:space="preserve">4. </w:t>
      </w:r>
      <w:r w:rsidRPr="00FE4A51">
        <w:rPr>
          <w:b/>
        </w:rPr>
        <w:t>Não serão fornecidos modelos de apresentações</w:t>
      </w:r>
      <w:r>
        <w:t xml:space="preserve">. </w:t>
      </w:r>
    </w:p>
    <w:p w:rsidR="00FE4A51" w:rsidRDefault="00FE4A51" w:rsidP="008A3B84">
      <w:pPr>
        <w:jc w:val="both"/>
      </w:pPr>
      <w:r w:rsidRPr="00095C91">
        <w:t xml:space="preserve">5. </w:t>
      </w:r>
      <w:r w:rsidR="00CB36A7" w:rsidRPr="00095C91">
        <w:t xml:space="preserve">A avaliação de habilidades (atividade prática) de </w:t>
      </w:r>
      <w:proofErr w:type="spellStart"/>
      <w:r w:rsidR="00CB36A7" w:rsidRPr="00095C91">
        <w:t>instrutoria</w:t>
      </w:r>
      <w:proofErr w:type="spellEnd"/>
      <w:r w:rsidR="00CB36A7" w:rsidRPr="00095C91">
        <w:t xml:space="preserve"> ou consultoria terá validade para atuação em todas as </w:t>
      </w:r>
      <w:r w:rsidR="00095C91" w:rsidRPr="00095C91">
        <w:t>sub</w:t>
      </w:r>
      <w:r w:rsidR="00CB36A7" w:rsidRPr="00095C91">
        <w:t>áreas</w:t>
      </w:r>
      <w:r w:rsidR="00095C91" w:rsidRPr="00095C91">
        <w:t xml:space="preserve">, dentro da mesma área </w:t>
      </w:r>
      <w:r w:rsidR="00CB36A7" w:rsidRPr="00095C91">
        <w:t>de conhecimento</w:t>
      </w:r>
      <w:r w:rsidR="00A72FAA">
        <w:t>,</w:t>
      </w:r>
      <w:r w:rsidR="00CB36A7" w:rsidRPr="00095C91">
        <w:t xml:space="preserve"> em que o profissional pretende se credenciar.</w:t>
      </w:r>
    </w:p>
    <w:p w:rsidR="00FE4A51" w:rsidRDefault="00CB36A7" w:rsidP="00F31EE3">
      <w:pPr>
        <w:pStyle w:val="PargrafodaLista"/>
        <w:numPr>
          <w:ilvl w:val="1"/>
          <w:numId w:val="8"/>
        </w:numPr>
        <w:ind w:left="851" w:hanging="284"/>
        <w:jc w:val="both"/>
      </w:pPr>
      <w:r>
        <w:t xml:space="preserve">O candidato inscrito para atuar somente em consultoria deverá fazer uma apresentação </w:t>
      </w:r>
      <w:r w:rsidR="00734436">
        <w:t xml:space="preserve">de um caso concreto </w:t>
      </w:r>
      <w:r>
        <w:t>da sua experiência profissional,</w:t>
      </w:r>
      <w:r w:rsidR="00734436">
        <w:t xml:space="preserve"> </w:t>
      </w:r>
      <w:r w:rsidR="00FE4A51">
        <w:t>para cada</w:t>
      </w:r>
      <w:r>
        <w:t xml:space="preserve"> área de conhecimento</w:t>
      </w:r>
      <w:r w:rsidR="00FE4A51">
        <w:t xml:space="preserve"> inscrit</w:t>
      </w:r>
      <w:r w:rsidR="00734436">
        <w:t>o</w:t>
      </w:r>
      <w:r>
        <w:t>, com duração de até 20 minutos</w:t>
      </w:r>
      <w:r w:rsidR="00734436">
        <w:t xml:space="preserve"> cada</w:t>
      </w:r>
      <w:r>
        <w:t xml:space="preserve">. </w:t>
      </w:r>
    </w:p>
    <w:p w:rsidR="00FE4A51" w:rsidRDefault="00FE4A51" w:rsidP="00F31EE3">
      <w:pPr>
        <w:pStyle w:val="PargrafodaLista"/>
        <w:ind w:left="851" w:hanging="284"/>
        <w:jc w:val="both"/>
      </w:pPr>
    </w:p>
    <w:p w:rsidR="00FE4A51" w:rsidRDefault="00CB36A7" w:rsidP="00F31EE3">
      <w:pPr>
        <w:pStyle w:val="PargrafodaLista"/>
        <w:numPr>
          <w:ilvl w:val="1"/>
          <w:numId w:val="8"/>
        </w:numPr>
        <w:ind w:left="851" w:hanging="284"/>
        <w:jc w:val="both"/>
      </w:pPr>
      <w:r>
        <w:t xml:space="preserve">O candidato inscrito para atuar somente em </w:t>
      </w:r>
      <w:proofErr w:type="spellStart"/>
      <w:r>
        <w:t>instruto</w:t>
      </w:r>
      <w:r w:rsidR="00734436">
        <w:t>ria</w:t>
      </w:r>
      <w:proofErr w:type="spellEnd"/>
      <w:proofErr w:type="gramStart"/>
      <w:r w:rsidR="00734436">
        <w:t>, deverá</w:t>
      </w:r>
      <w:proofErr w:type="gramEnd"/>
      <w:r w:rsidR="00734436">
        <w:t xml:space="preserve"> apresentar uma mini</w:t>
      </w:r>
      <w:r>
        <w:t xml:space="preserve">aula </w:t>
      </w:r>
      <w:r w:rsidR="004D2C43">
        <w:t xml:space="preserve">para cada área de conhecimento </w:t>
      </w:r>
      <w:r w:rsidR="00734436">
        <w:t>que</w:t>
      </w:r>
      <w:r>
        <w:t xml:space="preserve"> se inscreveu, com duração de até 20 minutos</w:t>
      </w:r>
      <w:r w:rsidR="00734436">
        <w:t xml:space="preserve"> cada</w:t>
      </w:r>
      <w:r>
        <w:t xml:space="preserve">. </w:t>
      </w:r>
    </w:p>
    <w:p w:rsidR="00FE4A51" w:rsidRDefault="00FE4A51" w:rsidP="00F31EE3">
      <w:pPr>
        <w:pStyle w:val="PargrafodaLista"/>
        <w:ind w:left="851" w:hanging="284"/>
        <w:jc w:val="both"/>
      </w:pPr>
    </w:p>
    <w:p w:rsidR="00FE4A51" w:rsidRDefault="00CB36A7" w:rsidP="00F31EE3">
      <w:pPr>
        <w:pStyle w:val="PargrafodaLista"/>
        <w:numPr>
          <w:ilvl w:val="1"/>
          <w:numId w:val="8"/>
        </w:numPr>
        <w:ind w:left="851" w:hanging="284"/>
        <w:jc w:val="both"/>
      </w:pPr>
      <w:r>
        <w:t xml:space="preserve">O candidato inscrito para atuar em consultoria e </w:t>
      </w:r>
      <w:proofErr w:type="spellStart"/>
      <w:r>
        <w:t>instrutoria</w:t>
      </w:r>
      <w:proofErr w:type="spellEnd"/>
      <w:r>
        <w:t xml:space="preserve"> deverá</w:t>
      </w:r>
      <w:r w:rsidR="00A72FAA">
        <w:t xml:space="preserve"> fazer uma apresentação de mini</w:t>
      </w:r>
      <w:r>
        <w:t xml:space="preserve">aula e </w:t>
      </w:r>
      <w:r w:rsidR="00734436">
        <w:t xml:space="preserve">de um </w:t>
      </w:r>
      <w:r w:rsidR="00734436">
        <w:t>caso concreto</w:t>
      </w:r>
      <w:r w:rsidR="00734436">
        <w:t xml:space="preserve"> </w:t>
      </w:r>
      <w:r>
        <w:t>da sua experiência</w:t>
      </w:r>
      <w:r w:rsidR="004D2C43">
        <w:t xml:space="preserve"> profissional, em </w:t>
      </w:r>
      <w:r w:rsidR="00B41035">
        <w:t xml:space="preserve">cada </w:t>
      </w:r>
      <w:r w:rsidR="004D2C43">
        <w:t>uma das áreas</w:t>
      </w:r>
      <w:r>
        <w:t xml:space="preserve"> conhecimento, com duração de até 4</w:t>
      </w:r>
      <w:r w:rsidR="00A72FAA">
        <w:t>0</w:t>
      </w:r>
      <w:r>
        <w:t xml:space="preserve"> minutos. </w:t>
      </w:r>
    </w:p>
    <w:p w:rsidR="00FE4A51" w:rsidRDefault="00CB36A7" w:rsidP="008A3B84">
      <w:pPr>
        <w:jc w:val="both"/>
      </w:pPr>
      <w:r>
        <w:t xml:space="preserve">6. </w:t>
      </w:r>
      <w:r w:rsidR="00B41035" w:rsidRPr="00B41035">
        <w:rPr>
          <w:b/>
        </w:rPr>
        <w:t xml:space="preserve">Ao final </w:t>
      </w:r>
      <w:r w:rsidR="00B41035" w:rsidRPr="00B41035">
        <w:rPr>
          <w:b/>
        </w:rPr>
        <w:t xml:space="preserve">das apresentações </w:t>
      </w:r>
      <w:r w:rsidR="00B41035" w:rsidRPr="00B41035">
        <w:rPr>
          <w:b/>
        </w:rPr>
        <w:t xml:space="preserve">deverá ser entregue uma cópia </w:t>
      </w:r>
      <w:r w:rsidR="00020458">
        <w:rPr>
          <w:b/>
        </w:rPr>
        <w:t xml:space="preserve">impressa </w:t>
      </w:r>
      <w:r w:rsidR="00B41035" w:rsidRPr="00B41035">
        <w:rPr>
          <w:b/>
        </w:rPr>
        <w:t>do material de apoio utilizado</w:t>
      </w:r>
      <w:r w:rsidR="00B41035">
        <w:t xml:space="preserve">. </w:t>
      </w:r>
      <w:r w:rsidR="00020458">
        <w:t>Serão</w:t>
      </w:r>
      <w:r>
        <w:t xml:space="preserve"> disponibilizado</w:t>
      </w:r>
      <w:r w:rsidR="00020458">
        <w:t>s</w:t>
      </w:r>
      <w:bookmarkStart w:id="0" w:name="_GoBack"/>
      <w:bookmarkEnd w:id="0"/>
      <w:r>
        <w:t xml:space="preserve"> Computador e Projetor Multimídia para a</w:t>
      </w:r>
      <w:r w:rsidR="00B41035">
        <w:t>s</w:t>
      </w:r>
      <w:r>
        <w:t xml:space="preserve"> respectiva</w:t>
      </w:r>
      <w:r w:rsidR="00B41035">
        <w:t>s</w:t>
      </w:r>
      <w:r>
        <w:t xml:space="preserve"> apresentaç</w:t>
      </w:r>
      <w:r w:rsidR="00B41035">
        <w:t>ões</w:t>
      </w:r>
      <w:r>
        <w:t xml:space="preserve">. </w:t>
      </w:r>
    </w:p>
    <w:p w:rsidR="00FE4A51" w:rsidRDefault="004D2C43" w:rsidP="008A3B84">
      <w:pPr>
        <w:jc w:val="both"/>
      </w:pPr>
      <w:r>
        <w:lastRenderedPageBreak/>
        <w:t>7</w:t>
      </w:r>
      <w:r w:rsidR="00CB36A7">
        <w:t xml:space="preserve">. Na atividade prática, serão avaliadas competências, conhecimentos, habilidades e atitudes desejáveis no comportamento do candidato a consultor/instrutor. </w:t>
      </w:r>
    </w:p>
    <w:p w:rsidR="00F31EE3" w:rsidRDefault="00F31EE3" w:rsidP="008A3B84">
      <w:pPr>
        <w:jc w:val="both"/>
      </w:pPr>
      <w:r>
        <w:t>8</w:t>
      </w:r>
      <w:r w:rsidR="00CB36A7">
        <w:t>. A nota de corte em ambas as avaliações é 7,00 pontos, sendo que cada uma delas valerá 10,00 pontos e a somente participará da avaliação de habilidades quem obtiver a nota mínima na avaliação de conhecimentos</w:t>
      </w:r>
      <w:r w:rsidR="006045C1">
        <w:t xml:space="preserve"> (entrevista técnica)</w:t>
      </w:r>
      <w:r w:rsidR="00CB36A7">
        <w:t>.</w:t>
      </w:r>
    </w:p>
    <w:p w:rsidR="00155BD4" w:rsidRDefault="00F31EE3" w:rsidP="008A3B84">
      <w:pPr>
        <w:jc w:val="both"/>
      </w:pPr>
      <w:r>
        <w:t>9</w:t>
      </w:r>
      <w:r w:rsidR="00CB36A7">
        <w:t xml:space="preserve">. </w:t>
      </w:r>
      <w:r w:rsidR="00155BD4">
        <w:t xml:space="preserve">As avaliações presenciais serão realizadas na sede do </w:t>
      </w:r>
      <w:proofErr w:type="gramStart"/>
      <w:r w:rsidR="00155BD4">
        <w:t>Sebrae</w:t>
      </w:r>
      <w:proofErr w:type="gramEnd"/>
      <w:r w:rsidR="00155BD4">
        <w:t xml:space="preserve"> Amapá.</w:t>
      </w:r>
    </w:p>
    <w:p w:rsidR="00F31EE3" w:rsidRDefault="00155BD4" w:rsidP="008A3B84">
      <w:pPr>
        <w:jc w:val="both"/>
      </w:pPr>
      <w:r>
        <w:t>10. Os</w:t>
      </w:r>
      <w:r w:rsidR="00CB36A7">
        <w:t xml:space="preserve"> candidatos deverão apresentar-se, no mínimo, com 10 minutos de antecedência no dia/ horário e local das Etapas da Certificação da Capacidade Técnica</w:t>
      </w:r>
      <w:r>
        <w:t xml:space="preserve">, </w:t>
      </w:r>
      <w:r w:rsidRPr="00155BD4">
        <w:t>pois nenhum candidato poder</w:t>
      </w:r>
      <w:r w:rsidRPr="00155BD4">
        <w:rPr>
          <w:rFonts w:hint="eastAsia"/>
        </w:rPr>
        <w:t>á</w:t>
      </w:r>
      <w:r w:rsidRPr="00155BD4">
        <w:t xml:space="preserve"> ingressar no local da avalia</w:t>
      </w:r>
      <w:r w:rsidRPr="00155BD4">
        <w:rPr>
          <w:rFonts w:hint="eastAsia"/>
        </w:rPr>
        <w:t>çã</w:t>
      </w:r>
      <w:r w:rsidRPr="00155BD4">
        <w:t>o ap</w:t>
      </w:r>
      <w:r w:rsidRPr="00155BD4">
        <w:rPr>
          <w:rFonts w:hint="eastAsia"/>
        </w:rPr>
        <w:t>ó</w:t>
      </w:r>
      <w:r>
        <w:t>s o fechamento da porta</w:t>
      </w:r>
      <w:r w:rsidR="00CB36A7">
        <w:t xml:space="preserve">. </w:t>
      </w:r>
    </w:p>
    <w:p w:rsidR="00FE4A51" w:rsidRDefault="00F31EE3" w:rsidP="008A3B84">
      <w:pPr>
        <w:jc w:val="both"/>
      </w:pPr>
      <w:r>
        <w:t>1</w:t>
      </w:r>
      <w:r w:rsidR="00155BD4">
        <w:t>1</w:t>
      </w:r>
      <w:r>
        <w:t xml:space="preserve">. </w:t>
      </w:r>
      <w:r w:rsidR="00CB36A7">
        <w:t>Os candidatos serão convocados mediante publicação no portal do SEBRAE</w:t>
      </w:r>
      <w:r w:rsidR="00B41035">
        <w:t>/</w:t>
      </w:r>
      <w:r w:rsidR="00CB36A7">
        <w:t>A</w:t>
      </w:r>
      <w:r>
        <w:t>P</w:t>
      </w:r>
      <w:r w:rsidR="00B41035">
        <w:t>.</w:t>
      </w:r>
      <w:r w:rsidR="00CB36A7">
        <w:t xml:space="preserve"> </w:t>
      </w:r>
    </w:p>
    <w:p w:rsidR="00FE4A51" w:rsidRDefault="00F31EE3" w:rsidP="008A3B84">
      <w:pPr>
        <w:jc w:val="both"/>
      </w:pPr>
      <w:r>
        <w:t>1</w:t>
      </w:r>
      <w:r w:rsidR="00155BD4">
        <w:t>2</w:t>
      </w:r>
      <w:r w:rsidR="00CB36A7">
        <w:t>. As pessoas jurídicas já habilitadas poderão indicar novos profissionais para credenciamento, conforme os critérios definidos n</w:t>
      </w:r>
      <w:r w:rsidR="006045C1">
        <w:t>o</w:t>
      </w:r>
      <w:r w:rsidR="00CB36A7">
        <w:t xml:space="preserve"> Edital</w:t>
      </w:r>
      <w:r w:rsidR="006045C1">
        <w:t xml:space="preserve"> n</w:t>
      </w:r>
      <w:r w:rsidR="006045C1">
        <w:rPr>
          <w:rFonts w:ascii="Arial" w:hAnsi="Arial" w:cs="Arial"/>
        </w:rPr>
        <w:t xml:space="preserve">º </w:t>
      </w:r>
      <w:r w:rsidR="006045C1">
        <w:t>01/2015</w:t>
      </w:r>
      <w:r w:rsidR="00CB36A7">
        <w:t xml:space="preserve">. </w:t>
      </w:r>
    </w:p>
    <w:p w:rsidR="00FE4A51" w:rsidRDefault="00155BD4" w:rsidP="008A3B84">
      <w:pPr>
        <w:jc w:val="both"/>
      </w:pPr>
      <w:r w:rsidRPr="006045C1">
        <w:t>13</w:t>
      </w:r>
      <w:r w:rsidR="00CB36A7" w:rsidRPr="006045C1">
        <w:t xml:space="preserve">. Se os profissionais indicados forem atuar nas </w:t>
      </w:r>
      <w:proofErr w:type="gramStart"/>
      <w:r w:rsidR="00CB36A7" w:rsidRPr="006045C1">
        <w:t>mesmas</w:t>
      </w:r>
      <w:proofErr w:type="gramEnd"/>
      <w:r w:rsidR="00CB36A7" w:rsidRPr="006045C1">
        <w:t xml:space="preserve"> áreas de conhecimento e natureza de atividade (</w:t>
      </w:r>
      <w:proofErr w:type="spellStart"/>
      <w:r w:rsidR="00CB36A7" w:rsidRPr="006045C1">
        <w:t>instrutoria</w:t>
      </w:r>
      <w:proofErr w:type="spellEnd"/>
      <w:r w:rsidR="00CB36A7" w:rsidRPr="006045C1">
        <w:t xml:space="preserve"> e/ou consultoria) nas quais a empresa já é habilitada, não é ne</w:t>
      </w:r>
      <w:r w:rsidR="006045C1" w:rsidRPr="006045C1">
        <w:t>cessário o envio dos documentos listados nos itens 5.3.2, sendo necessária apenas a documentação dos profissionais indicados</w:t>
      </w:r>
      <w:r w:rsidR="006045C1">
        <w:t>.</w:t>
      </w:r>
    </w:p>
    <w:p w:rsidR="00FE4A51" w:rsidRDefault="00155BD4" w:rsidP="008A3B84">
      <w:pPr>
        <w:jc w:val="both"/>
      </w:pPr>
      <w:r>
        <w:t>1</w:t>
      </w:r>
      <w:r w:rsidR="006045C1">
        <w:t>4</w:t>
      </w:r>
      <w:r w:rsidR="00CB36A7">
        <w:t>. O credenciamento é por tempo indeterminado, salvo o disposto no item 1</w:t>
      </w:r>
      <w:r>
        <w:t>1</w:t>
      </w:r>
      <w:r w:rsidR="006045C1">
        <w:t>,</w:t>
      </w:r>
      <w:r w:rsidR="00CB36A7">
        <w:t xml:space="preserve"> </w:t>
      </w:r>
      <w:r>
        <w:t>do Edital Nº</w:t>
      </w:r>
      <w:r w:rsidR="006045C1">
        <w:t xml:space="preserve"> </w:t>
      </w:r>
      <w:r>
        <w:t>01/2015</w:t>
      </w:r>
      <w:r w:rsidR="00CB36A7">
        <w:t>, devendo ser atendidas às convocações para atualização cadastral.</w:t>
      </w:r>
    </w:p>
    <w:p w:rsidR="00FE4A51" w:rsidRDefault="00155BD4" w:rsidP="008A3B84">
      <w:pPr>
        <w:jc w:val="both"/>
      </w:pPr>
      <w:r>
        <w:t xml:space="preserve"> 15</w:t>
      </w:r>
      <w:r w:rsidR="00CB36A7">
        <w:t xml:space="preserve">. O não comparecimento nos períodos agendados para a Certificação da Capacidade Técnica eliminará, automaticamente, o profissional </w:t>
      </w:r>
      <w:r w:rsidR="00C42CD2">
        <w:t xml:space="preserve">autônomo e </w:t>
      </w:r>
      <w:r w:rsidR="00CB36A7">
        <w:t xml:space="preserve">indicado deste Processo de Credenciamento, nas respectivas áreas/ subáreas/ especialidades e natureza de atividade em que se ausentou. </w:t>
      </w:r>
    </w:p>
    <w:p w:rsidR="00FE4A51" w:rsidRDefault="00CB36A7" w:rsidP="008A3B84">
      <w:pPr>
        <w:jc w:val="both"/>
      </w:pPr>
      <w:r>
        <w:t xml:space="preserve">6.12. Não será permitida a utilização de aparelhos de comunicação (rádio, celular, “bip” e outros) durante a realização das atividades de Certificação. </w:t>
      </w:r>
    </w:p>
    <w:p w:rsidR="00FE4A51" w:rsidRDefault="00CB36A7" w:rsidP="008A3B84">
      <w:pPr>
        <w:jc w:val="both"/>
      </w:pPr>
      <w:r>
        <w:t xml:space="preserve">6.13. É de exclusiva responsabilidade do candidato: </w:t>
      </w:r>
    </w:p>
    <w:p w:rsidR="00FE4A51" w:rsidRDefault="00CB36A7" w:rsidP="008A3B84">
      <w:pPr>
        <w:jc w:val="both"/>
      </w:pPr>
      <w:r>
        <w:t xml:space="preserve">a) Arcar com as despesas de viagens, estadia e alimentação, quando da realização da Certificação da Capacidade Técnica. </w:t>
      </w:r>
    </w:p>
    <w:p w:rsidR="005E30D7" w:rsidRDefault="00CB36A7" w:rsidP="00155BD4">
      <w:pPr>
        <w:jc w:val="both"/>
      </w:pPr>
      <w:r>
        <w:t>b) Acompanhar os resultados das fases do processo seletivo e a conv</w:t>
      </w:r>
      <w:r w:rsidR="00155BD4">
        <w:t>ocação para as fases seguintes.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940138" w:rsidTr="00940138">
        <w:tc>
          <w:tcPr>
            <w:tcW w:w="9211" w:type="dxa"/>
            <w:shd w:val="clear" w:color="auto" w:fill="DBE5F1" w:themeFill="accent1" w:themeFillTint="33"/>
          </w:tcPr>
          <w:p w:rsidR="00940138" w:rsidRPr="00F82462" w:rsidRDefault="00940138" w:rsidP="00155BD4">
            <w:pPr>
              <w:jc w:val="both"/>
              <w:rPr>
                <w:b/>
              </w:rPr>
            </w:pPr>
            <w:r w:rsidRPr="00F82462">
              <w:rPr>
                <w:b/>
              </w:rPr>
              <w:t>ATIVAÇÃO DO CREDENCIAMENTO</w:t>
            </w:r>
          </w:p>
        </w:tc>
      </w:tr>
    </w:tbl>
    <w:p w:rsidR="005B52A3" w:rsidRDefault="005B52A3" w:rsidP="00F82462">
      <w:pPr>
        <w:spacing w:after="0"/>
        <w:jc w:val="both"/>
      </w:pPr>
    </w:p>
    <w:p w:rsidR="00940138" w:rsidRDefault="00940138" w:rsidP="00155BD4">
      <w:pPr>
        <w:jc w:val="both"/>
      </w:pPr>
      <w:r>
        <w:t>Os profissionais indicados e profissionais autônomos aprovados na terceira etapa (Certificação de Capacidade Técnica), só terão seus credenciamentos ativados no sistema SGC após sua participação integral em Atividade Institucional de Informação e Nivelamento para Credenciados (Capacitação Introdutória).</w:t>
      </w:r>
    </w:p>
    <w:sectPr w:rsidR="00940138" w:rsidSect="005B52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6D1D"/>
    <w:multiLevelType w:val="hybridMultilevel"/>
    <w:tmpl w:val="6630A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244DE"/>
    <w:multiLevelType w:val="hybridMultilevel"/>
    <w:tmpl w:val="8272C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57BA4"/>
    <w:multiLevelType w:val="hybridMultilevel"/>
    <w:tmpl w:val="21F8AED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91AD3"/>
    <w:multiLevelType w:val="hybridMultilevel"/>
    <w:tmpl w:val="D2767F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EC6C8A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A05EB"/>
    <w:multiLevelType w:val="hybridMultilevel"/>
    <w:tmpl w:val="08726DB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8E058B"/>
    <w:multiLevelType w:val="hybridMultilevel"/>
    <w:tmpl w:val="AAE8F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249E9"/>
    <w:multiLevelType w:val="hybridMultilevel"/>
    <w:tmpl w:val="70DE9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25BA1"/>
    <w:multiLevelType w:val="hybridMultilevel"/>
    <w:tmpl w:val="F84622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D7"/>
    <w:rsid w:val="00020458"/>
    <w:rsid w:val="0002475E"/>
    <w:rsid w:val="00095C91"/>
    <w:rsid w:val="00155BD4"/>
    <w:rsid w:val="001765FE"/>
    <w:rsid w:val="001D42A1"/>
    <w:rsid w:val="00257CBD"/>
    <w:rsid w:val="00264098"/>
    <w:rsid w:val="002866E5"/>
    <w:rsid w:val="0047427A"/>
    <w:rsid w:val="004D2C43"/>
    <w:rsid w:val="00513AB0"/>
    <w:rsid w:val="00594F08"/>
    <w:rsid w:val="005B52A3"/>
    <w:rsid w:val="005E30D7"/>
    <w:rsid w:val="00600560"/>
    <w:rsid w:val="006045C1"/>
    <w:rsid w:val="006469BC"/>
    <w:rsid w:val="00734436"/>
    <w:rsid w:val="008A3B84"/>
    <w:rsid w:val="00940138"/>
    <w:rsid w:val="00A07B0B"/>
    <w:rsid w:val="00A72FAA"/>
    <w:rsid w:val="00A87498"/>
    <w:rsid w:val="00B41035"/>
    <w:rsid w:val="00C42CD2"/>
    <w:rsid w:val="00C95CE4"/>
    <w:rsid w:val="00CB36A7"/>
    <w:rsid w:val="00DB2319"/>
    <w:rsid w:val="00EA261E"/>
    <w:rsid w:val="00F005B5"/>
    <w:rsid w:val="00F01860"/>
    <w:rsid w:val="00F31EE3"/>
    <w:rsid w:val="00F82462"/>
    <w:rsid w:val="00F86B55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0D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E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6409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64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0D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E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6409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6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.sebrae.com.br" TargetMode="External"/><Relationship Id="rId3" Type="http://schemas.openxmlformats.org/officeDocument/2006/relationships/styles" Target="styles.xml"/><Relationship Id="rId7" Type="http://schemas.openxmlformats.org/officeDocument/2006/relationships/hyperlink" Target="mailto:sgc@ap.sebrae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F96C-DA79-45DB-BABA-AF2F5A6C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1002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24</cp:revision>
  <cp:lastPrinted>2016-03-04T19:46:00Z</cp:lastPrinted>
  <dcterms:created xsi:type="dcterms:W3CDTF">2016-03-03T19:01:00Z</dcterms:created>
  <dcterms:modified xsi:type="dcterms:W3CDTF">2016-03-04T20:19:00Z</dcterms:modified>
</cp:coreProperties>
</file>